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line="300"/>
      </w:pPr>
      <w:r>
        <w:rPr>
          <w:rFonts w:ascii="Arial" w:cs="Arial" w:eastAsia="Arial" w:hAnsi="Arial"/>
          <w:b w:val="false"/>
          <w:bCs w:val="false"/>
          <w:i w:val="false"/>
          <w:iCs w:val="false"/>
          <w:color w:val="5C5648"/>
          <w:sz w:val="18"/>
          <w:szCs w:val="18"/>
        </w:rPr>
        <w:t xml:space="preserve">The Handbook  ·  Robinhood Chain  ·  v1.24a</w:t>
      </w:r>
    </w:p>
    <w:p>
      <w:pPr>
        <w:spacing w:after="40"/>
      </w:pPr>
      <w:r>
        <w:rPr>
          <w:rFonts w:ascii="Arial" w:cs="Arial" w:eastAsia="Arial" w:hAnsi="Arial"/>
          <w:b/>
          <w:bCs/>
          <w:color w:val="16181C"/>
          <w:sz w:val="52"/>
          <w:szCs w:val="52"/>
        </w:rPr>
        <w:t xml:space="preserve">NOOB TRADER</w:t>
      </w:r>
    </w:p>
    <w:p>
      <w:pPr>
        <w:spacing w:after="200" w:before="0" w:line="300"/>
      </w:pPr>
      <w:r>
        <w:rPr>
          <w:rFonts w:ascii="Arial" w:cs="Arial" w:eastAsia="Arial" w:hAnsi="Arial"/>
          <w:b/>
          <w:bCs/>
          <w:i w:val="false"/>
          <w:iCs w:val="false"/>
          <w:color w:val="16181C"/>
          <w:sz w:val="24"/>
          <w:szCs w:val="24"/>
        </w:rPr>
        <w:t xml:space="preserve">$NT has a fixed 1B supply. No additional $NT can ever be minted. Protocol burns permanently reduce supply.</w:t>
      </w:r>
    </w:p>
    <w:p>
      <w:pPr>
        <w:spacing w:after="200" w:before="0" w:line="300"/>
      </w:pPr>
      <w:r>
        <w:rPr>
          <w:rFonts w:ascii="Arial" w:cs="Arial" w:eastAsia="Arial" w:hAnsi="Arial"/>
          <w:b w:val="false"/>
          <w:bCs w:val="false"/>
          <w:i w:val="false"/>
          <w:iCs w:val="false"/>
          <w:color w:val="16181C"/>
          <w:sz w:val="22"/>
          <w:szCs w:val="22"/>
        </w:rPr>
        <w:t xml:space="preserve">A Noob Trader NFT is one of 1,500 seats. Eligible staked Noob Trader NFTs may accrue claimable balances of the configured Robinhood Chain stock tokens, subject to the protocol rules and available treasury assets. Shitcoin NFTs bring people in. $NT powers the seats. $NT supply can only decrease.</w:t>
      </w:r>
    </w:p>
    <w:p>
      <w:pPr>
        <w:spacing w:after="200" w:before="0" w:line="300"/>
      </w:pPr>
      <w:r>
        <w:rPr>
          <w:rFonts w:ascii="Arial" w:cs="Arial" w:eastAsia="Arial" w:hAnsi="Arial"/>
          <w:b w:val="false"/>
          <w:bCs w:val="false"/>
          <w:i w:val="false"/>
          <w:iCs w:val="false"/>
          <w:color w:val="5C5648"/>
          <w:sz w:val="18"/>
          <w:szCs w:val="18"/>
        </w:rPr>
        <w:t xml:space="preserve">4,444 Shitcoin NFTs, free mint     1,500 Noob Trader NFT seats, hard cap     1B $NT, then only down     Five names: NVDA / AAPL / SPY / TSLA / QQQ</w:t>
      </w:r>
    </w:p>
    <w:p>
      <w:pPr>
        <w:spacing w:after="200" w:before="0" w:line="300"/>
      </w:pPr>
      <w:r>
        <w:rPr>
          <w:rFonts w:ascii="Arial" w:cs="Arial" w:eastAsia="Arial" w:hAnsi="Arial"/>
          <w:b w:val="false"/>
          <w:bCs w:val="false"/>
          <w:i w:val="false"/>
          <w:iCs w:val="false"/>
          <w:color w:val="5C5648"/>
          <w:sz w:val="20"/>
          <w:szCs w:val="20"/>
        </w:rPr>
        <w:t xml:space="preserve">This project is not affiliated with Robinhood Markets, Inc., the listed companies in the basket, or the issuers of those stock tokens. An on-chain stock token is not a share certificate and does not confer shareholder rights.</w:t>
      </w:r>
    </w:p>
    <w:p>
      <w:pPr>
        <w:pStyle w:val="Heading1"/>
        <w:spacing w:after="160" w:before="360"/>
      </w:pPr>
      <w:r>
        <w:rPr>
          <w:rFonts w:ascii="Arial" w:cs="Arial" w:eastAsia="Arial" w:hAnsi="Arial"/>
          <w:b/>
          <w:bCs/>
          <w:i w:val="false"/>
          <w:iCs w:val="false"/>
          <w:color w:val="16181C"/>
          <w:sz w:val="32"/>
          <w:szCs w:val="32"/>
        </w:rPr>
        <w:t xml:space="preserve">Three jobs. Do not mix them.</w:t>
      </w:r>
    </w:p>
    <w:p>
      <w:pPr>
        <w:spacing w:after="200" w:before="0" w:line="300"/>
      </w:pPr>
      <w:r>
        <w:rPr>
          <w:rFonts w:ascii="Arial" w:cs="Arial" w:eastAsia="Arial" w:hAnsi="Arial"/>
          <w:b w:val="false"/>
          <w:bCs w:val="false"/>
          <w:i w:val="false"/>
          <w:iCs w:val="false"/>
          <w:color w:val="16181C"/>
          <w:sz w:val="22"/>
          <w:szCs w:val="22"/>
        </w:rPr>
        <w:t xml:space="preserve">Seats may accrue stock-token balances. They do not make $NT.</w:t>
      </w:r>
    </w:p>
    <w:p>
      <w:pPr>
        <w:spacing w:after="200" w:before="0" w:line="300"/>
      </w:pPr>
      <w:r>
        <w:rPr>
          <w:rFonts w:ascii="Arial" w:cs="Arial" w:eastAsia="Arial" w:hAnsi="Arial"/>
          <w:b w:val="false"/>
          <w:bCs w:val="false"/>
          <w:i w:val="false"/>
          <w:iCs w:val="false"/>
          <w:color w:val="16181C"/>
          <w:sz w:val="22"/>
          <w:szCs w:val="22"/>
        </w:rPr>
        <w:t xml:space="preserve">A Shitcoin NFT is a ticket. It gets people in. It is also the raw material for a Noob Trader NFT. It never enters the stock-asset claim pool.</w:t>
      </w:r>
    </w:p>
    <w:p>
      <w:pPr>
        <w:spacing w:after="200" w:before="0" w:line="300"/>
      </w:pPr>
      <w:r>
        <w:rPr>
          <w:rFonts w:ascii="Arial" w:cs="Arial" w:eastAsia="Arial" w:hAnsi="Arial"/>
          <w:b w:val="false"/>
          <w:bCs w:val="false"/>
          <w:i w:val="false"/>
          <w:iCs w:val="false"/>
          <w:color w:val="16181C"/>
          <w:sz w:val="22"/>
          <w:szCs w:val="22"/>
        </w:rPr>
        <w:t xml:space="preserve">A Noob Trader NFT is a seat. Lit and staked, it may accrue a claimable balance. Dark, or sitting in a wallet outside the pool, new accruals are zero.</w:t>
      </w:r>
    </w:p>
    <w:p>
      <w:pPr>
        <w:spacing w:after="200" w:before="0" w:line="300"/>
      </w:pPr>
      <w:r>
        <w:rPr>
          <w:rFonts w:ascii="Arial" w:cs="Arial" w:eastAsia="Arial" w:hAnsi="Arial"/>
          <w:b w:val="false"/>
          <w:bCs w:val="false"/>
          <w:i w:val="false"/>
          <w:iCs w:val="false"/>
          <w:color w:val="16181C"/>
          <w:sz w:val="22"/>
          <w:szCs w:val="22"/>
        </w:rPr>
        <w:t xml:space="preserve">$NT is fuel. Minting a seat and relighting one after a sale both burn it. Tax collected on configured $NT liquidity routes may be routed, swapped, and then partly burned. Protocol burns permanently reduce supply. No additional $NT can ever be minted.</w:t>
      </w:r>
    </w:p>
    <w:p>
      <w:pPr>
        <w:pBdr>
          <w:bottom w:val="single" w:color="2BA05C" w:sz="12" w:space="6"/>
        </w:pBdr>
        <w:spacing w:after="80" w:before="480"/>
      </w:pPr>
      <w:r>
        <w:rPr>
          <w:rFonts w:ascii="Arial" w:cs="Arial" w:eastAsia="Arial" w:hAnsi="Arial"/>
          <w:b/>
          <w:bCs/>
          <w:i w:val="false"/>
          <w:iCs w:val="false"/>
          <w:color w:val="2BA05C"/>
          <w:sz w:val="18"/>
          <w:szCs w:val="18"/>
        </w:rPr>
        <w:t xml:space="preserve">I  ·  Fuel</w:t>
      </w:r>
    </w:p>
    <w:p>
      <w:pPr>
        <w:pStyle w:val="Heading1"/>
        <w:spacing w:after="160" w:before="360"/>
      </w:pPr>
      <w:r>
        <w:rPr>
          <w:rFonts w:ascii="Arial" w:cs="Arial" w:eastAsia="Arial" w:hAnsi="Arial"/>
          <w:b/>
          <w:bCs/>
          <w:i w:val="false"/>
          <w:iCs w:val="false"/>
          <w:color w:val="16181C"/>
          <w:sz w:val="32"/>
          <w:szCs w:val="32"/>
        </w:rPr>
        <w:t xml:space="preserve">Shitcoin NFT: a ticket, not a claim-pool seat</w:t>
      </w:r>
    </w:p>
    <w:p>
      <w:pPr>
        <w:spacing w:after="200" w:before="0" w:line="300"/>
      </w:pPr>
      <w:r>
        <w:rPr>
          <w:rFonts w:ascii="Arial" w:cs="Arial" w:eastAsia="Arial" w:hAnsi="Arial"/>
          <w:b w:val="false"/>
          <w:bCs w:val="false"/>
          <w:i w:val="false"/>
          <w:iCs w:val="false"/>
          <w:color w:val="16181C"/>
          <w:sz w:val="22"/>
          <w:szCs w:val="22"/>
        </w:rPr>
        <w:t xml:space="preserve">Supply </w:t>
      </w:r>
      <w:r>
        <w:rPr>
          <w:rFonts w:ascii="Arial" w:cs="Arial" w:eastAsia="Arial" w:hAnsi="Arial"/>
          <w:b/>
          <w:bCs/>
          <w:i w:val="false"/>
          <w:iCs w:val="false"/>
          <w:color w:val="16181C"/>
          <w:sz w:val="22"/>
          <w:szCs w:val="22"/>
        </w:rPr>
        <w:t xml:space="preserve">4,444</w:t>
      </w:r>
      <w:r>
        <w:rPr>
          <w:rFonts w:ascii="Arial" w:cs="Arial" w:eastAsia="Arial" w:hAnsi="Arial"/>
          <w:b w:val="false"/>
          <w:bCs w:val="false"/>
          <w:i w:val="false"/>
          <w:iCs w:val="false"/>
          <w:color w:val="16181C"/>
          <w:sz w:val="22"/>
          <w:szCs w:val="22"/>
        </w:rPr>
        <w:t xml:space="preserve">. </w:t>
      </w:r>
      <w:r>
        <w:rPr>
          <w:rFonts w:ascii="Arial" w:cs="Arial" w:eastAsia="Arial" w:hAnsi="Arial"/>
          <w:b/>
          <w:bCs/>
          <w:i w:val="false"/>
          <w:iCs w:val="false"/>
          <w:color w:val="16181C"/>
          <w:sz w:val="22"/>
          <w:szCs w:val="22"/>
        </w:rPr>
        <w:t xml:space="preserve">Free mint</w:t>
      </w:r>
      <w:r>
        <w:rPr>
          <w:rFonts w:ascii="Arial" w:cs="Arial" w:eastAsia="Arial" w:hAnsi="Arial"/>
          <w:b w:val="false"/>
          <w:bCs w:val="false"/>
          <w:i w:val="false"/>
          <w:iCs w:val="false"/>
          <w:color w:val="16181C"/>
          <w:sz w:val="22"/>
          <w:szCs w:val="22"/>
        </w:rPr>
        <w:t xml:space="preserve">. Gas only.</w:t>
      </w:r>
    </w:p>
    <w:p>
      <w:pPr>
        <w:spacing w:after="200" w:before="0" w:line="300"/>
      </w:pPr>
      <w:r>
        <w:rPr>
          <w:rFonts w:ascii="Arial" w:cs="Arial" w:eastAsia="Arial" w:hAnsi="Arial"/>
          <w:b w:val="false"/>
          <w:bCs w:val="false"/>
          <w:i w:val="false"/>
          <w:iCs w:val="false"/>
          <w:color w:val="16181C"/>
          <w:sz w:val="22"/>
          <w:szCs w:val="22"/>
        </w:rPr>
        <w:t xml:space="preserve">Before the cap fills: no royalty-related treasury inflow, and no Noob Trader NFT.</w:t>
      </w:r>
    </w:p>
    <w:p>
      <w:pPr>
        <w:spacing w:after="200" w:before="0" w:line="300"/>
      </w:pPr>
      <w:r>
        <w:rPr>
          <w:rFonts w:ascii="Arial" w:cs="Arial" w:eastAsia="Arial" w:hAnsi="Arial"/>
          <w:b w:val="false"/>
          <w:bCs w:val="false"/>
          <w:i w:val="false"/>
          <w:iCs w:val="false"/>
          <w:color w:val="16181C"/>
          <w:sz w:val="22"/>
          <w:szCs w:val="22"/>
        </w:rPr>
        <w:t xml:space="preserve">After the cap fills, the collections advertise a 5% royalty. When that royalty is actually collected, 80% goes to the treasury and 20% goes to the project.</w:t>
      </w:r>
    </w:p>
    <w:p>
      <w:pPr>
        <w:spacing w:after="200" w:before="0" w:line="300"/>
      </w:pPr>
      <w:r>
        <w:rPr>
          <w:rFonts w:ascii="Arial" w:cs="Arial" w:eastAsia="Arial" w:hAnsi="Arial"/>
          <w:b w:val="false"/>
          <w:bCs w:val="false"/>
          <w:i w:val="false"/>
          <w:iCs w:val="false"/>
          <w:color w:val="16181C"/>
          <w:sz w:val="22"/>
          <w:szCs w:val="22"/>
        </w:rPr>
        <w:t xml:space="preserve">The 5% royalty is enforceable only on approved marketplaces or protocol-controlled sale routes. Third-party marketplace royalties may be optional and are not treated as guaranteed treasury revenue.</w:t>
      </w:r>
    </w:p>
    <w:p>
      <w:pPr>
        <w:pStyle w:val="Heading2"/>
        <w:spacing w:after="140" w:before="280"/>
      </w:pPr>
      <w:r>
        <w:rPr>
          <w:rFonts w:ascii="Arial" w:cs="Arial" w:eastAsia="Arial" w:hAnsi="Arial"/>
          <w:b/>
          <w:bCs/>
          <w:i w:val="false"/>
          <w:iCs w:val="false"/>
          <w:color w:val="16181C"/>
          <w:sz w:val="26"/>
          <w:szCs w:val="26"/>
        </w:rPr>
        <w:t xml:space="preserve">Also the only way to mint a Noob Trader NFT</w:t>
      </w:r>
    </w:p>
    <w:p>
      <w:pPr>
        <w:spacing w:after="200" w:before="0" w:line="300"/>
      </w:pPr>
      <w:r>
        <w:rPr>
          <w:rFonts w:ascii="Arial" w:cs="Arial" w:eastAsia="Arial" w:hAnsi="Arial"/>
          <w:b w:val="false"/>
          <w:bCs w:val="false"/>
          <w:i w:val="false"/>
          <w:iCs w:val="false"/>
          <w:color w:val="16181C"/>
          <w:sz w:val="22"/>
          <w:szCs w:val="22"/>
        </w:rPr>
        <w:t xml:space="preserve">The same wallet burns two Shitcoin NFTs with different tokenIds plus a pile of $NT. Those two tickets die. One lit, unstaked Noob Trader NFT comes out.</w:t>
      </w:r>
    </w:p>
    <w:p>
      <w:pPr>
        <w:spacing w:after="200" w:before="0" w:line="300"/>
      </w:pPr>
      <w:r>
        <w:rPr>
          <w:rFonts w:ascii="Arial" w:cs="Arial" w:eastAsia="Arial" w:hAnsi="Arial"/>
          <w:b w:val="false"/>
          <w:bCs w:val="false"/>
          <w:i w:val="false"/>
          <w:iCs w:val="false"/>
          <w:color w:val="16181C"/>
          <w:sz w:val="22"/>
          <w:szCs w:val="22"/>
        </w:rPr>
        <w:t xml:space="preserve">At most 3,000 tickets burn. About 1,444 stay in circulation for the mentorship layer later.</w:t>
      </w:r>
    </w:p>
    <w:p>
      <w:pPr>
        <w:pStyle w:val="Heading1"/>
        <w:spacing w:after="160" w:before="360"/>
      </w:pPr>
      <w:r>
        <w:rPr>
          <w:rFonts w:ascii="Arial" w:cs="Arial" w:eastAsia="Arial" w:hAnsi="Arial"/>
          <w:b/>
          <w:bCs/>
          <w:i w:val="false"/>
          <w:iCs w:val="false"/>
          <w:color w:val="16181C"/>
          <w:sz w:val="32"/>
          <w:szCs w:val="32"/>
        </w:rPr>
        <w:t xml:space="preserve">$NT: fixed forever, burns only</w:t>
      </w:r>
    </w:p>
    <w:p>
      <w:pPr>
        <w:spacing w:after="200" w:before="0" w:line="300"/>
      </w:pPr>
      <w:r>
        <w:rPr>
          <w:rFonts w:ascii="Arial" w:cs="Arial" w:eastAsia="Arial" w:hAnsi="Arial"/>
          <w:b w:val="false"/>
          <w:bCs w:val="false"/>
          <w:i w:val="false"/>
          <w:iCs w:val="false"/>
          <w:color w:val="16181C"/>
          <w:sz w:val="22"/>
          <w:szCs w:val="22"/>
        </w:rPr>
        <w:t xml:space="preserve">One billion minted at launch. Never again.</w:t>
      </w:r>
    </w:p>
    <w:p>
      <w:pPr>
        <w:spacing w:after="200" w:before="0" w:line="300"/>
      </w:pPr>
      <w:r>
        <w:rPr>
          <w:rFonts w:ascii="Arial" w:cs="Arial" w:eastAsia="Arial" w:hAnsi="Arial"/>
          <w:b w:val="false"/>
          <w:bCs w:val="false"/>
          <w:i w:val="false"/>
          <w:iCs w:val="false"/>
          <w:color w:val="16181C"/>
          <w:sz w:val="22"/>
          <w:szCs w:val="22"/>
        </w:rPr>
        <w:t xml:space="preserve">A 3% buy tax and a 3% sell tax apply only on configured canonical $NT liquidity routes. Ordinary wallet-to-wallet transfers are not taxed. No additional taxable pool or router address can be added after launch. The canonical route list is frozen in the deployed contracts.</w:t>
      </w:r>
    </w:p>
    <w:p>
      <w:pPr>
        <w:spacing w:after="200" w:before="0" w:line="300"/>
      </w:pPr>
      <w:r>
        <w:rPr>
          <w:rFonts w:ascii="Arial" w:cs="Arial" w:eastAsia="Arial" w:hAnsi="Arial"/>
          <w:b w:val="false"/>
          <w:bCs w:val="false"/>
          <w:i w:val="false"/>
          <w:iCs w:val="false"/>
          <w:color w:val="16181C"/>
          <w:sz w:val="22"/>
          <w:szCs w:val="22"/>
        </w:rPr>
        <w:t xml:space="preserve">That 3% splits three ways:</w:t>
      </w:r>
    </w:p>
    <w:p>
      <w:pPr>
        <w:spacing w:after="200" w:before="0" w:line="300"/>
      </w:pPr>
      <w:r>
        <w:rPr>
          <w:rFonts w:ascii="Arial" w:cs="Arial" w:eastAsia="Arial" w:hAnsi="Arial"/>
          <w:b w:val="false"/>
          <w:bCs w:val="false"/>
          <w:i w:val="false"/>
          <w:iCs w:val="false"/>
          <w:color w:val="16181C"/>
          <w:sz w:val="22"/>
          <w:szCs w:val="22"/>
        </w:rPr>
        <w:t xml:space="preserve">20%    route the fee to the paired asset, buy $NT on the canonical pool, send that $NT to the dead address. This is not a direct burn of the inbound fee tokens.</w:t>
      </w:r>
    </w:p>
    <w:p>
      <w:pPr>
        <w:spacing w:after="200" w:before="0" w:line="300"/>
      </w:pPr>
      <w:r>
        <w:rPr>
          <w:rFonts w:ascii="Arial" w:cs="Arial" w:eastAsia="Arial" w:hAnsi="Arial"/>
          <w:b w:val="false"/>
          <w:bCs w:val="false"/>
          <w:i w:val="false"/>
          <w:iCs w:val="false"/>
          <w:color w:val="16181C"/>
          <w:sz w:val="22"/>
          <w:szCs w:val="22"/>
        </w:rPr>
        <w:t xml:space="preserve">60%    $NT fee → WETH → USDG → configured stock-token pools. Whitelist pools only.</w:t>
      </w:r>
    </w:p>
    <w:p>
      <w:pPr>
        <w:spacing w:after="200" w:before="0" w:line="300"/>
      </w:pPr>
      <w:r>
        <w:rPr>
          <w:rFonts w:ascii="Arial" w:cs="Arial" w:eastAsia="Arial" w:hAnsi="Arial"/>
          <w:b w:val="false"/>
          <w:bCs w:val="false"/>
          <w:i w:val="false"/>
          <w:iCs w:val="false"/>
          <w:color w:val="16181C"/>
          <w:sz w:val="22"/>
          <w:szCs w:val="22"/>
        </w:rPr>
        <w:t xml:space="preserve">20%    ops, LP, scanner / keeper gas</w:t>
      </w:r>
    </w:p>
    <w:p>
      <w:pPr>
        <w:pStyle w:val="Heading2"/>
        <w:spacing w:after="140" w:before="280"/>
      </w:pPr>
      <w:r>
        <w:rPr>
          <w:rFonts w:ascii="Arial" w:cs="Arial" w:eastAsia="Arial" w:hAnsi="Arial"/>
          <w:b/>
          <w:bCs/>
          <w:i w:val="false"/>
          <w:iCs w:val="false"/>
          <w:color w:val="16181C"/>
          <w:sz w:val="26"/>
          <w:szCs w:val="26"/>
        </w:rPr>
        <w:t xml:space="preserve">What else burns $NT</w:t>
      </w:r>
    </w:p>
    <w:p>
      <w:pPr>
        <w:spacing w:after="200" w:before="0" w:line="300"/>
      </w:pPr>
      <w:r>
        <w:rPr>
          <w:rFonts w:ascii="Arial" w:cs="Arial" w:eastAsia="Arial" w:hAnsi="Arial"/>
          <w:b w:val="false"/>
          <w:bCs w:val="false"/>
          <w:i w:val="false"/>
          <w:iCs w:val="false"/>
          <w:color w:val="16181C"/>
          <w:sz w:val="22"/>
          <w:szCs w:val="22"/>
        </w:rPr>
        <w:t xml:space="preserve">Minting one Noob Trader NFT burns current N. Current N is the mint tier for the next token index: k = alreadyMinted + 1, read at the start of the mint transaction, before supply increases. First hundred seats (k 1–100) cost 20,000 each. N rises 12% every 100 mints. Last hundred seats cost 97,742 each.</w:t>
      </w:r>
    </w:p>
    <w:p>
      <w:pPr>
        <w:spacing w:after="200" w:before="0" w:line="300"/>
      </w:pPr>
      <w:r>
        <w:rPr>
          <w:rFonts w:ascii="Arial" w:cs="Arial" w:eastAsia="Arial" w:hAnsi="Arial"/>
          <w:b w:val="false"/>
          <w:bCs w:val="false"/>
          <w:i w:val="false"/>
          <w:iCs w:val="false"/>
          <w:color w:val="16181C"/>
          <w:sz w:val="22"/>
          <w:szCs w:val="22"/>
        </w:rPr>
        <w:t xml:space="preserve">On relight, the burn quote equals floor(25% of the active mint tier at the time the relight transaction is executed). Relight only sets lit = true. Weight 4.00 resumes from the next epoch after the card is both lit and staked.</w:t>
      </w:r>
    </w:p>
    <w:p>
      <w:pPr>
        <w:spacing w:after="200" w:before="0" w:line="300"/>
      </w:pPr>
      <w:r>
        <w:rPr>
          <w:rFonts w:ascii="Arial" w:cs="Arial" w:eastAsia="Arial" w:hAnsi="Arial"/>
          <w:b w:val="false"/>
          <w:bCs w:val="false"/>
          <w:i w:val="false"/>
          <w:iCs w:val="false"/>
          <w:color w:val="16181C"/>
          <w:sz w:val="22"/>
          <w:szCs w:val="22"/>
        </w:rPr>
        <w:t xml:space="preserve">If all 1,500 seats mint that way, about 74.56M $NT is gone — 7.46% of supply (exact ladder sum 74,558,700). The mint function then closes forever.</w:t>
      </w:r>
    </w:p>
    <w:p>
      <w:pPr>
        <w:spacing w:after="200" w:before="0" w:line="300"/>
      </w:pPr>
      <w:r>
        <w:rPr>
          <w:rFonts w:ascii="Arial" w:cs="Arial" w:eastAsia="Arial" w:hAnsi="Arial"/>
          <w:b w:val="false"/>
          <w:bCs w:val="false"/>
          <w:i w:val="false"/>
          <w:iCs w:val="false"/>
          <w:color w:val="16181C"/>
          <w:sz w:val="22"/>
          <w:szCs w:val="22"/>
        </w:rPr>
        <w:t xml:space="preserve">$NT cannot be staked. There is no lock multiplier. Moving a Noob Trader NFT into the stock-asset claim pool is not mining. $NT has a fixed 1B supply; protocol burns permanently reduce that supply.</w:t>
      </w:r>
    </w:p>
    <w:p>
      <w:pPr>
        <w:pBdr>
          <w:bottom w:val="single" w:color="2BA05C" w:sz="12" w:space="6"/>
        </w:pBdr>
        <w:spacing w:after="80" w:before="480"/>
      </w:pPr>
      <w:r>
        <w:rPr>
          <w:rFonts w:ascii="Arial" w:cs="Arial" w:eastAsia="Arial" w:hAnsi="Arial"/>
          <w:b/>
          <w:bCs/>
          <w:i w:val="false"/>
          <w:iCs w:val="false"/>
          <w:color w:val="2BA05C"/>
          <w:sz w:val="18"/>
          <w:szCs w:val="18"/>
        </w:rPr>
        <w:t xml:space="preserve">II  ·  Seats</w:t>
      </w:r>
    </w:p>
    <w:p>
      <w:pPr>
        <w:pStyle w:val="Heading1"/>
        <w:spacing w:after="160" w:before="360"/>
      </w:pPr>
      <w:r>
        <w:rPr>
          <w:rFonts w:ascii="Arial" w:cs="Arial" w:eastAsia="Arial" w:hAnsi="Arial"/>
          <w:b/>
          <w:bCs/>
          <w:i w:val="false"/>
          <w:iCs w:val="false"/>
          <w:color w:val="16181C"/>
          <w:sz w:val="32"/>
          <w:szCs w:val="32"/>
        </w:rPr>
        <w:t xml:space="preserve">Noob Trader NFT: 1,500 little stock desks</w:t>
      </w:r>
    </w:p>
    <w:p>
      <w:pPr>
        <w:spacing w:after="200" w:before="0" w:line="300"/>
      </w:pPr>
      <w:r>
        <w:rPr>
          <w:rFonts w:ascii="Arial" w:cs="Arial" w:eastAsia="Arial" w:hAnsi="Arial"/>
          <w:b w:val="false"/>
          <w:bCs w:val="false"/>
          <w:i w:val="false"/>
          <w:iCs w:val="false"/>
          <w:color w:val="16181C"/>
          <w:sz w:val="22"/>
          <w:szCs w:val="22"/>
        </w:rPr>
        <w:t xml:space="preserve">The protocol does not sell Noob Trader NFTs. There is no whitelist. The only door:</w:t>
      </w:r>
    </w:p>
    <w:p>
      <w:pPr>
        <w:spacing w:after="200" w:before="0" w:line="300"/>
      </w:pPr>
      <w:r>
        <w:rPr>
          <w:rFonts w:ascii="Arial" w:cs="Arial" w:eastAsia="Arial" w:hAnsi="Arial"/>
          <w:b/>
          <w:bCs/>
          <w:i w:val="false"/>
          <w:iCs w:val="false"/>
          <w:color w:val="16181C"/>
          <w:sz w:val="22"/>
          <w:szCs w:val="22"/>
        </w:rPr>
        <w:t xml:space="preserve">2 Shitcoin NFTs with different tokenIds  +  current N $NT  →  1 lit Noob Trader NFT</w:t>
      </w:r>
    </w:p>
    <w:p>
      <w:pPr>
        <w:spacing w:after="200" w:before="0" w:line="300"/>
      </w:pPr>
      <w:r>
        <w:rPr>
          <w:rFonts w:ascii="Arial" w:cs="Arial" w:eastAsia="Arial" w:hAnsi="Arial"/>
          <w:b w:val="false"/>
          <w:bCs w:val="false"/>
          <w:i w:val="false"/>
          <w:iCs w:val="false"/>
          <w:color w:val="16181C"/>
          <w:sz w:val="22"/>
          <w:szCs w:val="22"/>
        </w:rPr>
        <w:t xml:space="preserve">No holding period. The new card is lit and unstaked. Until it is in the pool, new accruals are zero.</w:t>
      </w:r>
    </w:p>
    <w:p>
      <w:pPr>
        <w:pStyle w:val="Heading2"/>
        <w:spacing w:after="140" w:before="280"/>
      </w:pPr>
      <w:r>
        <w:rPr>
          <w:rFonts w:ascii="Arial" w:cs="Arial" w:eastAsia="Arial" w:hAnsi="Arial"/>
          <w:b/>
          <w:bCs/>
          <w:i w:val="false"/>
          <w:iCs w:val="false"/>
          <w:color w:val="16181C"/>
          <w:sz w:val="26"/>
          <w:szCs w:val="26"/>
        </w:rPr>
        <w:t xml:space="preserve">Custody when you stake</w:t>
      </w:r>
    </w:p>
    <w:p>
      <w:pPr>
        <w:spacing w:after="200" w:before="0" w:line="300"/>
      </w:pPr>
      <w:r>
        <w:rPr>
          <w:rFonts w:ascii="Arial" w:cs="Arial" w:eastAsia="Arial" w:hAnsi="Arial"/>
          <w:b w:val="false"/>
          <w:bCs w:val="false"/>
          <w:i w:val="false"/>
          <w:iCs w:val="false"/>
          <w:color w:val="16181C"/>
          <w:sz w:val="22"/>
          <w:szCs w:val="22"/>
        </w:rPr>
        <w:t xml:space="preserve">Stake transfers the Noob Trader NFT into the pool contract. The card leaves the wallet. That is why stake is not a marketplace transfer, why a listed sale requires unstake first, and why a card in the pool cannot be listed: the market never holds it.</w:t>
      </w:r>
    </w:p>
    <w:p>
      <w:pPr>
        <w:spacing w:after="200" w:before="0" w:line="300"/>
      </w:pPr>
      <w:r>
        <w:rPr>
          <w:rFonts w:ascii="Arial" w:cs="Arial" w:eastAsia="Arial" w:hAnsi="Arial"/>
          <w:b w:val="false"/>
          <w:bCs w:val="false"/>
          <w:i w:val="false"/>
          <w:iCs w:val="false"/>
          <w:color w:val="16181C"/>
          <w:sz w:val="22"/>
          <w:szCs w:val="22"/>
        </w:rPr>
        <w:t xml:space="preserve">Unstake returns the card to the same staker. It stays lit. Unclaimed balances stay on the address.</w:t>
      </w:r>
    </w:p>
    <w:p>
      <w:pPr>
        <w:pStyle w:val="Heading2"/>
        <w:spacing w:after="140" w:before="280"/>
      </w:pPr>
      <w:r>
        <w:rPr>
          <w:rFonts w:ascii="Arial" w:cs="Arial" w:eastAsia="Arial" w:hAnsi="Arial"/>
          <w:b/>
          <w:bCs/>
          <w:i w:val="false"/>
          <w:iCs w:val="false"/>
          <w:color w:val="16181C"/>
          <w:sz w:val="26"/>
          <w:szCs w:val="26"/>
        </w:rPr>
        <w:t xml:space="preserve">Lit, dark, in the pool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00"/>
        <w:gridCol w:w="7680"/>
      </w:tblGrid>
      <w:tr>
        <w:tc>
          <w:tcPr>
            <w:tcW w:type="dxa" w:w="2400"/>
            <w:tcBorders>
              <w:top w:val="single" w:color="D4CBB8" w:sz="6"/>
              <w:left w:val="single" w:color="D4CBB8" w:sz="6"/>
              <w:bottom w:val="single" w:color="D4CBB8" w:sz="6"/>
              <w:right w:val="single" w:color="D4CBB8" w:sz="6"/>
            </w:tcBorders>
            <w:shd w:fill="EFE8D8" w:val="clear"/>
            <w:tcMar>
              <w:top w:type="dxa" w:w="70"/>
              <w:left w:type="dxa" w:w="80"/>
              <w:bottom w:type="dxa" w:w="70"/>
              <w:right w:type="dxa" w:w="80"/>
            </w:tcMar>
          </w:tcPr>
          <w:p>
            <w:r>
              <w:rPr>
                <w:rFonts w:ascii="Arial" w:cs="Arial" w:eastAsia="Arial" w:hAnsi="Arial"/>
                <w:b/>
                <w:bCs/>
                <w:i w:val="false"/>
                <w:iCs w:val="false"/>
                <w:color w:val="5C5648"/>
                <w:sz w:val="16"/>
                <w:szCs w:val="16"/>
              </w:rPr>
              <w:t xml:space="preserve">State</w:t>
            </w:r>
          </w:p>
        </w:tc>
        <w:tc>
          <w:tcPr>
            <w:tcW w:type="dxa" w:w="7680"/>
            <w:tcBorders>
              <w:top w:val="single" w:color="D4CBB8" w:sz="6"/>
              <w:left w:val="single" w:color="D4CBB8" w:sz="6"/>
              <w:bottom w:val="single" w:color="D4CBB8" w:sz="6"/>
              <w:right w:val="single" w:color="D4CBB8" w:sz="6"/>
            </w:tcBorders>
            <w:shd w:fill="EFE8D8" w:val="clear"/>
            <w:tcMar>
              <w:top w:type="dxa" w:w="70"/>
              <w:left w:type="dxa" w:w="80"/>
              <w:bottom w:type="dxa" w:w="70"/>
              <w:right w:type="dxa" w:w="80"/>
            </w:tcMar>
          </w:tcPr>
          <w:p>
            <w:r>
              <w:rPr>
                <w:rFonts w:ascii="Arial" w:cs="Arial" w:eastAsia="Arial" w:hAnsi="Arial"/>
                <w:b/>
                <w:bCs/>
                <w:i w:val="false"/>
                <w:iCs w:val="false"/>
                <w:color w:val="5C5648"/>
                <w:sz w:val="16"/>
                <w:szCs w:val="16"/>
              </w:rPr>
              <w:t xml:space="preserve">Effect</w:t>
            </w:r>
          </w:p>
        </w:tc>
      </w:tr>
      <w:tr>
        <w:tc>
          <w:tcPr>
            <w:tcW w:type="dxa" w:w="240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Just minted</w:t>
            </w:r>
          </w:p>
        </w:tc>
        <w:tc>
          <w:tcPr>
            <w:tcW w:type="dxa" w:w="768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Lit, in the wallet, not in the pool. New accruals are zero.</w:t>
            </w:r>
          </w:p>
        </w:tc>
      </w:tr>
      <w:tr>
        <w:tc>
          <w:tcPr>
            <w:tcW w:type="dxa" w:w="240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Lit and staked</w:t>
            </w:r>
          </w:p>
        </w:tc>
        <w:tc>
          <w:tcPr>
            <w:tcW w:type="dxa" w:w="768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Held by the pool contract. Accruals write to the staker’s claimable, not into the card.</w:t>
            </w:r>
          </w:p>
        </w:tc>
      </w:tr>
      <w:tr>
        <w:tc>
          <w:tcPr>
            <w:tcW w:type="dxa" w:w="240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Sold</w:t>
            </w:r>
          </w:p>
        </w:tc>
        <w:tc>
          <w:tcPr>
            <w:tcW w:type="dxa" w:w="768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Must leave the pool first. Dark is written in the same transfer that changes owner — not by a marketplace callback. The seller keeps unclaimed balances. The buyer must relight and stake or new accruals stay zero.</w:t>
            </w:r>
          </w:p>
        </w:tc>
      </w:tr>
      <w:tr>
        <w:tc>
          <w:tcPr>
            <w:tcW w:type="dxa" w:w="240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Unstake</w:t>
            </w:r>
          </w:p>
        </w:tc>
        <w:tc>
          <w:tcPr>
            <w:tcW w:type="dxa" w:w="768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Card returns to the wallet and stays lit. Unclaimed balances stay on the address. Unstaking does not remove an existing mentorship bond.</w:t>
            </w:r>
          </w:p>
        </w:tc>
      </w:tr>
    </w:tbl>
    <w:p>
      <w:pPr>
        <w:spacing w:after="140"/>
      </w:pPr>
    </w:p>
    <w:p>
      <w:pPr>
        <w:pStyle w:val="Heading2"/>
        <w:spacing w:after="140" w:before="280"/>
      </w:pPr>
      <w:r>
        <w:rPr>
          <w:rFonts w:ascii="Arial" w:cs="Arial" w:eastAsia="Arial" w:hAnsi="Arial"/>
          <w:b/>
          <w:bCs/>
          <w:i w:val="false"/>
          <w:iCs w:val="false"/>
          <w:color w:val="16181C"/>
          <w:sz w:val="26"/>
          <w:szCs w:val="26"/>
        </w:rPr>
        <w:t xml:space="preserve">How you take the stock tokens</w:t>
      </w:r>
    </w:p>
    <w:p>
      <w:pPr>
        <w:spacing w:after="200" w:before="0" w:line="300"/>
      </w:pPr>
      <w:r>
        <w:rPr>
          <w:rFonts w:ascii="Arial" w:cs="Arial" w:eastAsia="Arial" w:hAnsi="Arial"/>
          <w:b w:val="false"/>
          <w:bCs w:val="false"/>
          <w:i w:val="false"/>
          <w:iCs w:val="false"/>
          <w:color w:val="16181C"/>
          <w:sz w:val="22"/>
          <w:szCs w:val="22"/>
        </w:rPr>
        <w:t xml:space="preserve">Three calls: stake    unstake    claim</w:t>
      </w:r>
    </w:p>
    <w:p>
      <w:pPr>
        <w:spacing w:after="200" w:before="0" w:line="300"/>
      </w:pPr>
      <w:r>
        <w:rPr>
          <w:rFonts w:ascii="Arial" w:cs="Arial" w:eastAsia="Arial" w:hAnsi="Arial"/>
          <w:b w:val="false"/>
          <w:bCs w:val="false"/>
          <w:i w:val="false"/>
          <w:iCs w:val="false"/>
          <w:color w:val="16181C"/>
          <w:sz w:val="22"/>
          <w:szCs w:val="22"/>
        </w:rPr>
        <w:t xml:space="preserve">Unclaimed balances follow the wallet, not the token. The next buyer does not buy leftover claimable. They buy a dark seat.</w:t>
      </w:r>
    </w:p>
    <w:p>
      <w:pPr>
        <w:pBdr>
          <w:bottom w:val="single" w:color="2BA05C" w:sz="12" w:space="6"/>
        </w:pBdr>
        <w:spacing w:after="80" w:before="480"/>
      </w:pPr>
      <w:r>
        <w:rPr>
          <w:rFonts w:ascii="Arial" w:cs="Arial" w:eastAsia="Arial" w:hAnsi="Arial"/>
          <w:b/>
          <w:bCs/>
          <w:i w:val="false"/>
          <w:iCs w:val="false"/>
          <w:color w:val="2BA05C"/>
          <w:sz w:val="18"/>
          <w:szCs w:val="18"/>
        </w:rPr>
        <w:t xml:space="preserve">III  ·  Payout</w:t>
      </w:r>
    </w:p>
    <w:p>
      <w:pPr>
        <w:pStyle w:val="Heading1"/>
        <w:spacing w:after="160" w:before="360"/>
      </w:pPr>
      <w:r>
        <w:rPr>
          <w:rFonts w:ascii="Arial" w:cs="Arial" w:eastAsia="Arial" w:hAnsi="Arial"/>
          <w:b/>
          <w:bCs/>
          <w:i w:val="false"/>
          <w:iCs w:val="false"/>
          <w:color w:val="16181C"/>
          <w:sz w:val="32"/>
          <w:szCs w:val="32"/>
        </w:rPr>
        <w:t xml:space="preserve">The treasury may buy five names. Then it splits.</w:t>
      </w:r>
    </w:p>
    <w:p>
      <w:pPr>
        <w:spacing w:after="200" w:before="0" w:line="300"/>
      </w:pPr>
      <w:r>
        <w:rPr>
          <w:rFonts w:ascii="Arial" w:cs="Arial" w:eastAsia="Arial" w:hAnsi="Arial"/>
          <w:b w:val="false"/>
          <w:bCs w:val="false"/>
          <w:i w:val="false"/>
          <w:iCs w:val="false"/>
          <w:color w:val="16181C"/>
          <w:sz w:val="22"/>
          <w:szCs w:val="22"/>
        </w:rPr>
        <w:t xml:space="preserve">There is no on-chain cron. About every 15 minutes a permissionless keeper may call the buy function. A successful call can take a fixed gas stipend from the ops pocket. A failed call pays no stipend.</w:t>
      </w:r>
    </w:p>
    <w:p>
      <w:pPr>
        <w:spacing w:after="200" w:before="0" w:line="300"/>
      </w:pPr>
      <w:r>
        <w:rPr>
          <w:rFonts w:ascii="Arial" w:cs="Arial" w:eastAsia="Arial" w:hAnsi="Arial"/>
          <w:b w:val="false"/>
          <w:bCs w:val="false"/>
          <w:i w:val="false"/>
          <w:iCs w:val="false"/>
          <w:color w:val="16181C"/>
          <w:sz w:val="22"/>
          <w:szCs w:val="22"/>
        </w:rPr>
        <w:t xml:space="preserve">Each asset has its own budget. A purchase is attempted only when that asset’s budget reaches the USD-equivalent MIN_BUY of $100, using the official USD feed. Path: $NT fee → WETH → USDG → that asset’s whitelist pool. Limit price is mid × 1.015 versus the oracle mid. If one name fails, that name is skipped and its budget stays put. The budget is not moved onto another ticker.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5280"/>
      </w:tblGrid>
      <w:tr>
        <w:tc>
          <w:tcPr>
            <w:tcW w:type="dxa" w:w="2400"/>
            <w:tcBorders>
              <w:top w:val="single" w:color="D4CBB8" w:sz="6"/>
              <w:left w:val="single" w:color="D4CBB8" w:sz="6"/>
              <w:bottom w:val="single" w:color="D4CBB8" w:sz="6"/>
              <w:right w:val="single" w:color="D4CBB8" w:sz="6"/>
            </w:tcBorders>
            <w:shd w:fill="EFE8D8" w:val="clear"/>
            <w:tcMar>
              <w:top w:type="dxa" w:w="70"/>
              <w:left w:type="dxa" w:w="80"/>
              <w:bottom w:type="dxa" w:w="70"/>
              <w:right w:type="dxa" w:w="80"/>
            </w:tcMar>
          </w:tcPr>
          <w:p>
            <w:r>
              <w:rPr>
                <w:rFonts w:ascii="Arial" w:cs="Arial" w:eastAsia="Arial" w:hAnsi="Arial"/>
                <w:b/>
                <w:bCs/>
                <w:i w:val="false"/>
                <w:iCs w:val="false"/>
                <w:color w:val="5C5648"/>
                <w:sz w:val="16"/>
                <w:szCs w:val="16"/>
              </w:rPr>
              <w:t xml:space="preserve">Name</w:t>
            </w:r>
          </w:p>
        </w:tc>
        <w:tc>
          <w:tcPr>
            <w:tcW w:type="dxa" w:w="2400"/>
            <w:tcBorders>
              <w:top w:val="single" w:color="D4CBB8" w:sz="6"/>
              <w:left w:val="single" w:color="D4CBB8" w:sz="6"/>
              <w:bottom w:val="single" w:color="D4CBB8" w:sz="6"/>
              <w:right w:val="single" w:color="D4CBB8" w:sz="6"/>
            </w:tcBorders>
            <w:shd w:fill="EFE8D8" w:val="clear"/>
            <w:tcMar>
              <w:top w:type="dxa" w:w="70"/>
              <w:left w:type="dxa" w:w="80"/>
              <w:bottom w:type="dxa" w:w="70"/>
              <w:right w:type="dxa" w:w="80"/>
            </w:tcMar>
          </w:tcPr>
          <w:p>
            <w:r>
              <w:rPr>
                <w:rFonts w:ascii="Arial" w:cs="Arial" w:eastAsia="Arial" w:hAnsi="Arial"/>
                <w:b/>
                <w:bCs/>
                <w:i w:val="false"/>
                <w:iCs w:val="false"/>
                <w:color w:val="5C5648"/>
                <w:sz w:val="16"/>
                <w:szCs w:val="16"/>
              </w:rPr>
              <w:t xml:space="preserve">Weight</w:t>
            </w:r>
          </w:p>
        </w:tc>
        <w:tc>
          <w:tcPr>
            <w:tcW w:type="dxa" w:w="5280"/>
            <w:tcBorders>
              <w:top w:val="single" w:color="D4CBB8" w:sz="6"/>
              <w:left w:val="single" w:color="D4CBB8" w:sz="6"/>
              <w:bottom w:val="single" w:color="D4CBB8" w:sz="6"/>
              <w:right w:val="single" w:color="D4CBB8" w:sz="6"/>
            </w:tcBorders>
            <w:shd w:fill="EFE8D8" w:val="clear"/>
            <w:tcMar>
              <w:top w:type="dxa" w:w="70"/>
              <w:left w:type="dxa" w:w="80"/>
              <w:bottom w:type="dxa" w:w="70"/>
              <w:right w:type="dxa" w:w="80"/>
            </w:tcMar>
          </w:tcPr>
          <w:p>
            <w:r>
              <w:rPr>
                <w:rFonts w:ascii="Arial" w:cs="Arial" w:eastAsia="Arial" w:hAnsi="Arial"/>
                <w:b/>
                <w:bCs/>
                <w:i w:val="false"/>
                <w:iCs w:val="false"/>
                <w:color w:val="5C5648"/>
                <w:sz w:val="16"/>
                <w:szCs w:val="16"/>
              </w:rPr>
              <w:t xml:space="preserve">Job</w:t>
            </w:r>
          </w:p>
        </w:tc>
      </w:tr>
      <w:tr>
        <w:tc>
          <w:tcPr>
            <w:tcW w:type="dxa" w:w="240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NVDA</w:t>
            </w:r>
          </w:p>
        </w:tc>
        <w:tc>
          <w:tcPr>
            <w:tcW w:type="dxa" w:w="240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30%</w:t>
            </w:r>
          </w:p>
        </w:tc>
        <w:tc>
          <w:tcPr>
            <w:tcW w:type="dxa" w:w="528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Flagship</w:t>
            </w:r>
          </w:p>
        </w:tc>
      </w:tr>
      <w:tr>
        <w:tc>
          <w:tcPr>
            <w:tcW w:type="dxa" w:w="240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AAPL</w:t>
            </w:r>
          </w:p>
        </w:tc>
        <w:tc>
          <w:tcPr>
            <w:tcW w:type="dxa" w:w="240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20%</w:t>
            </w:r>
          </w:p>
        </w:tc>
        <w:tc>
          <w:tcPr>
            <w:tcW w:type="dxa" w:w="528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Quality</w:t>
            </w:r>
          </w:p>
        </w:tc>
      </w:tr>
      <w:tr>
        <w:tc>
          <w:tcPr>
            <w:tcW w:type="dxa" w:w="240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SPY</w:t>
            </w:r>
          </w:p>
        </w:tc>
        <w:tc>
          <w:tcPr>
            <w:tcW w:type="dxa" w:w="240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20%</w:t>
            </w:r>
          </w:p>
        </w:tc>
        <w:tc>
          <w:tcPr>
            <w:tcW w:type="dxa" w:w="528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Broad beta</w:t>
            </w:r>
          </w:p>
        </w:tc>
      </w:tr>
      <w:tr>
        <w:tc>
          <w:tcPr>
            <w:tcW w:type="dxa" w:w="240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TSLA</w:t>
            </w:r>
          </w:p>
        </w:tc>
        <w:tc>
          <w:tcPr>
            <w:tcW w:type="dxa" w:w="240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15%</w:t>
            </w:r>
          </w:p>
        </w:tc>
        <w:tc>
          <w:tcPr>
            <w:tcW w:type="dxa" w:w="528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Retail name</w:t>
            </w:r>
          </w:p>
        </w:tc>
      </w:tr>
      <w:tr>
        <w:tc>
          <w:tcPr>
            <w:tcW w:type="dxa" w:w="240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QQQ</w:t>
            </w:r>
          </w:p>
        </w:tc>
        <w:tc>
          <w:tcPr>
            <w:tcW w:type="dxa" w:w="240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15%</w:t>
            </w:r>
          </w:p>
        </w:tc>
        <w:tc>
          <w:tcPr>
            <w:tcW w:type="dxa" w:w="5280"/>
            <w:tcBorders>
              <w:top w:val="single" w:color="D4CBB8" w:sz="6"/>
              <w:left w:val="single" w:color="D4CBB8" w:sz="6"/>
              <w:bottom w:val="single" w:color="D4CBB8" w:sz="6"/>
              <w:right w:val="single" w:color="D4CBB8" w:sz="6"/>
            </w:tcBorders>
            <w:tcMar>
              <w:top w:type="dxa" w:w="70"/>
              <w:left w:type="dxa" w:w="80"/>
              <w:bottom w:type="dxa" w:w="70"/>
              <w:right w:type="dxa" w:w="80"/>
            </w:tcMar>
          </w:tcPr>
          <w:p>
            <w:r>
              <w:rPr>
                <w:rFonts w:ascii="Arial" w:cs="Arial" w:eastAsia="Arial" w:hAnsi="Arial"/>
                <w:b w:val="false"/>
                <w:bCs w:val="false"/>
                <w:i w:val="false"/>
                <w:iCs w:val="false"/>
                <w:color w:val="16181C"/>
                <w:sz w:val="18"/>
                <w:szCs w:val="18"/>
              </w:rPr>
              <w:t xml:space="preserve">Tech beta</w:t>
            </w:r>
          </w:p>
        </w:tc>
      </w:tr>
    </w:tbl>
    <w:p>
      <w:pPr>
        <w:spacing w:after="140"/>
      </w:pPr>
    </w:p>
    <w:p>
      <w:pPr>
        <w:spacing w:after="200" w:before="0" w:line="300"/>
      </w:pPr>
      <w:r>
        <w:rPr>
          <w:rFonts w:ascii="Arial" w:cs="Arial" w:eastAsia="Arial" w:hAnsi="Arial"/>
          <w:b w:val="false"/>
          <w:bCs w:val="false"/>
          <w:i w:val="false"/>
          <w:iCs w:val="false"/>
          <w:color w:val="16181C"/>
          <w:sz w:val="22"/>
          <w:szCs w:val="22"/>
        </w:rPr>
        <w:t xml:space="preserve">Official Robinhood Chain stock-token addresses only. HOOD and GME are not on this list.</w:t>
      </w:r>
    </w:p>
    <w:p>
      <w:pPr>
        <w:pStyle w:val="Heading2"/>
        <w:spacing w:after="140" w:before="280"/>
      </w:pPr>
      <w:r>
        <w:rPr>
          <w:rFonts w:ascii="Arial" w:cs="Arial" w:eastAsia="Arial" w:hAnsi="Arial"/>
          <w:b/>
          <w:bCs/>
          <w:i w:val="false"/>
          <w:iCs w:val="false"/>
          <w:color w:val="16181C"/>
          <w:sz w:val="26"/>
          <w:szCs w:val="26"/>
        </w:rPr>
        <w:t xml:space="preserve">Where the pot comes from</w:t>
      </w:r>
    </w:p>
    <w:p>
      <w:pPr>
        <w:spacing w:after="200" w:before="0" w:line="300"/>
      </w:pPr>
      <w:r>
        <w:rPr>
          <w:rFonts w:ascii="Arial" w:cs="Arial" w:eastAsia="Arial" w:hAnsi="Arial"/>
          <w:b w:val="false"/>
          <w:bCs w:val="false"/>
          <w:i w:val="false"/>
          <w:iCs w:val="false"/>
          <w:color w:val="16181C"/>
          <w:sz w:val="22"/>
          <w:szCs w:val="22"/>
        </w:rPr>
        <w:t xml:space="preserve">60% of the 3% $NT tax collected on canonical routes  →  1.800% of taxed volume, then $NT → WETH → USDG → whitelist stock-token pools.</w:t>
      </w:r>
    </w:p>
    <w:p>
      <w:pPr>
        <w:spacing w:after="200" w:before="0" w:line="300"/>
      </w:pPr>
      <w:r>
        <w:rPr>
          <w:rFonts w:ascii="Arial" w:cs="Arial" w:eastAsia="Arial" w:hAnsi="Arial"/>
          <w:b w:val="false"/>
          <w:bCs w:val="false"/>
          <w:i w:val="false"/>
          <w:iCs w:val="false"/>
          <w:color w:val="16181C"/>
          <w:sz w:val="22"/>
          <w:szCs w:val="22"/>
        </w:rPr>
        <w:t xml:space="preserve">80% of royalties actually collected on both collections  →  not a guaranteed 4.0% of all secondary volume.</w:t>
      </w:r>
    </w:p>
    <w:p>
      <w:pPr>
        <w:spacing w:after="200" w:before="0" w:line="300"/>
      </w:pPr>
      <w:r>
        <w:rPr>
          <w:rFonts w:ascii="Arial" w:cs="Arial" w:eastAsia="Arial" w:hAnsi="Arial"/>
          <w:b w:val="false"/>
          <w:bCs w:val="false"/>
          <w:i w:val="false"/>
          <w:iCs w:val="false"/>
          <w:color w:val="16181C"/>
          <w:sz w:val="22"/>
          <w:szCs w:val="22"/>
        </w:rPr>
        <w:t xml:space="preserve">Mint burns and activation burns do not enter the pot.</w:t>
      </w:r>
    </w:p>
    <w:p>
      <w:pPr>
        <w:spacing w:after="200" w:before="0" w:line="300"/>
      </w:pPr>
      <w:r>
        <w:rPr>
          <w:rFonts w:ascii="Arial" w:cs="Arial" w:eastAsia="Arial" w:hAnsi="Arial"/>
          <w:b w:val="false"/>
          <w:bCs w:val="false"/>
          <w:i w:val="false"/>
          <w:iCs w:val="false"/>
          <w:color w:val="16181C"/>
          <w:sz w:val="22"/>
          <w:szCs w:val="22"/>
        </w:rPr>
        <w:t xml:space="preserve">The treasury has no owner withdraw. You can only claim what was already written to your address.</w:t>
      </w:r>
    </w:p>
    <w:p>
      <w:pPr>
        <w:pBdr>
          <w:bottom w:val="single" w:color="2BA05C" w:sz="12" w:space="6"/>
        </w:pBdr>
        <w:spacing w:after="80" w:before="480"/>
      </w:pPr>
      <w:r>
        <w:rPr>
          <w:rFonts w:ascii="Arial" w:cs="Arial" w:eastAsia="Arial" w:hAnsi="Arial"/>
          <w:b/>
          <w:bCs/>
          <w:i w:val="false"/>
          <w:iCs w:val="false"/>
          <w:color w:val="2BA05C"/>
          <w:sz w:val="18"/>
          <w:szCs w:val="18"/>
        </w:rPr>
        <w:t xml:space="preserve">IV  ·  Why it holds together</w:t>
      </w:r>
    </w:p>
    <w:p>
      <w:pPr>
        <w:pStyle w:val="Heading1"/>
        <w:spacing w:after="160" w:before="360"/>
      </w:pPr>
      <w:r>
        <w:rPr>
          <w:rFonts w:ascii="Arial" w:cs="Arial" w:eastAsia="Arial" w:hAnsi="Arial"/>
          <w:b/>
          <w:bCs/>
          <w:i w:val="false"/>
          <w:iCs w:val="false"/>
          <w:color w:val="16181C"/>
          <w:sz w:val="32"/>
          <w:szCs w:val="32"/>
        </w:rPr>
        <w:t xml:space="preserve">The flywheel</w:t>
      </w:r>
    </w:p>
    <w:p>
      <w:pPr>
        <w:spacing w:after="200" w:before="0" w:line="300"/>
      </w:pPr>
      <w:r>
        <w:rPr>
          <w:rFonts w:ascii="Arial" w:cs="Arial" w:eastAsia="Arial" w:hAnsi="Arial"/>
          <w:b w:val="false"/>
          <w:bCs w:val="false"/>
          <w:i w:val="false"/>
          <w:iCs w:val="false"/>
          <w:color w:val="16181C"/>
          <w:sz w:val="22"/>
          <w:szCs w:val="22"/>
        </w:rPr>
        <w:t xml:space="preserve">Same direction, every time. Volume buys paper for the seats that showed up. $NT gets burned, not printed. Flippers pay the people who stay. Nobody mints extra seats to dilute you.</w:t>
      </w:r>
    </w:p>
    <w:p>
      <w:pPr>
        <w:spacing w:after="200" w:before="0" w:line="300"/>
      </w:pPr>
      <w:r>
        <w:rPr>
          <w:rFonts w:ascii="Arial" w:cs="Arial" w:eastAsia="Arial" w:hAnsi="Arial"/>
          <w:b/>
          <w:bCs/>
          <w:i w:val="false"/>
          <w:iCs w:val="false"/>
          <w:color w:val="16181C"/>
          <w:sz w:val="22"/>
          <w:szCs w:val="22"/>
        </w:rPr>
        <w:t xml:space="preserve">Play  →  tax hits the pot  →  bag gets tighter  →  stay or rotate  →  play again</w:t>
      </w:r>
    </w:p>
    <w:p>
      <w:pPr>
        <w:pStyle w:val="Heading2"/>
        <w:spacing w:after="140" w:before="280"/>
      </w:pPr>
      <w:r>
        <w:rPr>
          <w:rFonts w:ascii="Arial" w:cs="Arial" w:eastAsia="Arial" w:hAnsi="Arial"/>
          <w:b/>
          <w:bCs/>
          <w:i w:val="false"/>
          <w:iCs w:val="false"/>
          <w:color w:val="16181C"/>
          <w:sz w:val="26"/>
          <w:szCs w:val="26"/>
        </w:rPr>
        <w:t xml:space="preserve">1  ·  Play</w:t>
      </w:r>
    </w:p>
    <w:p>
      <w:pPr>
        <w:spacing w:after="200" w:before="0" w:line="300"/>
      </w:pPr>
      <w:r>
        <w:rPr>
          <w:rFonts w:ascii="Arial" w:cs="Arial" w:eastAsia="Arial" w:hAnsi="Arial"/>
          <w:b w:val="false"/>
          <w:bCs w:val="false"/>
          <w:i w:val="false"/>
          <w:iCs w:val="false"/>
          <w:color w:val="16181C"/>
          <w:sz w:val="22"/>
          <w:szCs w:val="22"/>
        </w:rPr>
        <w:t xml:space="preserve">Free mint the ticket. Burn two + $NT for a seat. Size $NT on the taxed pool. Stake the seat. Flip if you want — the card goes dark.</w:t>
      </w:r>
    </w:p>
    <w:p>
      <w:pPr>
        <w:pStyle w:val="Heading2"/>
        <w:spacing w:after="140" w:before="280"/>
      </w:pPr>
      <w:r>
        <w:rPr>
          <w:rFonts w:ascii="Arial" w:cs="Arial" w:eastAsia="Arial" w:hAnsi="Arial"/>
          <w:b/>
          <w:bCs/>
          <w:i w:val="false"/>
          <w:iCs w:val="false"/>
          <w:color w:val="16181C"/>
          <w:sz w:val="26"/>
          <w:szCs w:val="26"/>
        </w:rPr>
        <w:t xml:space="preserve">2  ·  Tax hits the pot</w:t>
      </w:r>
    </w:p>
    <w:p>
      <w:pPr>
        <w:spacing w:after="200" w:before="0" w:line="300"/>
      </w:pPr>
      <w:r>
        <w:rPr>
          <w:rFonts w:ascii="Arial" w:cs="Arial" w:eastAsia="Arial" w:hAnsi="Arial"/>
          <w:b w:val="false"/>
          <w:bCs w:val="false"/>
          <w:i w:val="false"/>
          <w:iCs w:val="false"/>
          <w:color w:val="16181C"/>
          <w:sz w:val="22"/>
          <w:szCs w:val="22"/>
        </w:rPr>
        <w:t xml:space="preserve">3% on the taxed pool. 60% buys the five names. 20% buys $NT and sends it to dead. Royalties, if the market actually pays them, feed the same pot.</w:t>
      </w:r>
    </w:p>
    <w:p>
      <w:pPr>
        <w:pStyle w:val="Heading2"/>
        <w:spacing w:after="140" w:before="280"/>
      </w:pPr>
      <w:r>
        <w:rPr>
          <w:rFonts w:ascii="Arial" w:cs="Arial" w:eastAsia="Arial" w:hAnsi="Arial"/>
          <w:b/>
          <w:bCs/>
          <w:i w:val="false"/>
          <w:iCs w:val="false"/>
          <w:color w:val="16181C"/>
          <w:sz w:val="26"/>
          <w:szCs w:val="26"/>
        </w:rPr>
        <w:t xml:space="preserve">3  ·  Bag gets tighter</w:t>
      </w:r>
    </w:p>
    <w:p>
      <w:pPr>
        <w:spacing w:after="200" w:before="0" w:line="300"/>
      </w:pPr>
      <w:r>
        <w:rPr>
          <w:rFonts w:ascii="Arial" w:cs="Arial" w:eastAsia="Arial" w:hAnsi="Arial"/>
          <w:b w:val="false"/>
          <w:bCs w:val="false"/>
          <w:i w:val="false"/>
          <w:iCs w:val="false"/>
          <w:color w:val="16181C"/>
          <w:sz w:val="22"/>
          <w:szCs w:val="22"/>
        </w:rPr>
        <w:t xml:space="preserve">1B $NT, then only down. 1,500 seats, then mint dies. No extra bag for the team. Claimable is stock tokens, not points.</w:t>
      </w:r>
    </w:p>
    <w:p>
      <w:pPr>
        <w:pStyle w:val="Heading2"/>
        <w:spacing w:after="140" w:before="280"/>
      </w:pPr>
      <w:r>
        <w:rPr>
          <w:rFonts w:ascii="Arial" w:cs="Arial" w:eastAsia="Arial" w:hAnsi="Arial"/>
          <w:b/>
          <w:bCs/>
          <w:i w:val="false"/>
          <w:iCs w:val="false"/>
          <w:color w:val="16181C"/>
          <w:sz w:val="26"/>
          <w:szCs w:val="26"/>
        </w:rPr>
        <w:t xml:space="preserve">4  ·  Stay or rotate</w:t>
      </w:r>
    </w:p>
    <w:p>
      <w:pPr>
        <w:spacing w:after="200" w:before="0" w:line="300"/>
      </w:pPr>
      <w:r>
        <w:rPr>
          <w:rFonts w:ascii="Arial" w:cs="Arial" w:eastAsia="Arial" w:hAnsi="Arial"/>
          <w:b w:val="false"/>
          <w:bCs w:val="false"/>
          <w:i w:val="false"/>
          <w:iCs w:val="false"/>
          <w:color w:val="16181C"/>
          <w:sz w:val="22"/>
          <w:szCs w:val="22"/>
        </w:rPr>
        <w:t xml:space="preserve">You claim. You hold. Or you sell a dark seat. Next buyer pays relight. The loop starts again.</w:t>
      </w:r>
    </w:p>
    <w:p>
      <w:pPr>
        <w:pStyle w:val="Heading2"/>
        <w:spacing w:after="140" w:before="280"/>
      </w:pPr>
      <w:r>
        <w:rPr>
          <w:rFonts w:ascii="Arial" w:cs="Arial" w:eastAsia="Arial" w:hAnsi="Arial"/>
          <w:b/>
          <w:bCs/>
          <w:i w:val="false"/>
          <w:iCs w:val="false"/>
          <w:color w:val="16181C"/>
          <w:sz w:val="26"/>
          <w:szCs w:val="26"/>
        </w:rPr>
        <w:t xml:space="preserve">What that maps to</w:t>
      </w:r>
    </w:p>
    <w:p>
      <w:pPr>
        <w:spacing w:after="200" w:before="0" w:line="300"/>
      </w:pPr>
      <w:r>
        <w:rPr>
          <w:rFonts w:ascii="Arial" w:cs="Arial" w:eastAsia="Arial" w:hAnsi="Arial"/>
          <w:b w:val="false"/>
          <w:bCs w:val="false"/>
          <w:i w:val="false"/>
          <w:iCs w:val="false"/>
          <w:color w:val="16181C"/>
          <w:sz w:val="22"/>
          <w:szCs w:val="22"/>
        </w:rPr>
        <w:t xml:space="preserve">Play — mint tickets, burn for a seat, trade $NT on the taxed pool, stake into the contract. No new $NT. No team mint of seats.</w:t>
      </w:r>
    </w:p>
    <w:p>
      <w:pPr>
        <w:spacing w:after="200" w:before="0" w:line="300"/>
      </w:pPr>
      <w:r>
        <w:rPr>
          <w:rFonts w:ascii="Arial" w:cs="Arial" w:eastAsia="Arial" w:hAnsi="Arial"/>
          <w:b w:val="false"/>
          <w:bCs w:val="false"/>
          <w:i w:val="false"/>
          <w:iCs w:val="false"/>
          <w:color w:val="16181C"/>
          <w:sz w:val="22"/>
          <w:szCs w:val="22"/>
        </w:rPr>
        <w:t xml:space="preserve">The pot — tax 60% + collected royalty 80% may buy the five names. The team cannot drain the treasury.</w:t>
      </w:r>
    </w:p>
    <w:p>
      <w:pPr>
        <w:spacing w:after="200" w:before="0" w:line="300"/>
      </w:pPr>
      <w:r>
        <w:rPr>
          <w:rFonts w:ascii="Arial" w:cs="Arial" w:eastAsia="Arial" w:hAnsi="Arial"/>
          <w:b w:val="false"/>
          <w:bCs w:val="false"/>
          <w:i w:val="false"/>
          <w:iCs w:val="false"/>
          <w:color w:val="16181C"/>
          <w:sz w:val="22"/>
          <w:szCs w:val="22"/>
        </w:rPr>
        <w:t xml:space="preserve">Tighter — burn $NT, cap 1,500, accrue to lit staked seats. No promised APY. No extra seats.</w:t>
      </w:r>
    </w:p>
    <w:p>
      <w:pPr>
        <w:spacing w:after="200" w:before="0" w:line="300"/>
      </w:pPr>
      <w:r>
        <w:rPr>
          <w:rFonts w:ascii="Arial" w:cs="Arial" w:eastAsia="Arial" w:hAnsi="Arial"/>
          <w:b w:val="false"/>
          <w:bCs w:val="false"/>
          <w:i w:val="false"/>
          <w:iCs w:val="false"/>
          <w:color w:val="16181C"/>
          <w:sz w:val="22"/>
          <w:szCs w:val="22"/>
        </w:rPr>
        <w:t xml:space="preserve">Rotate — claim, hold, or sell dark and make the next buyer relight. Dark or unstaked seats get nothing new.</w:t>
      </w:r>
    </w:p>
    <w:p>
      <w:pPr>
        <w:pStyle w:val="Heading2"/>
        <w:spacing w:after="140" w:before="280"/>
      </w:pPr>
      <w:r>
        <w:rPr>
          <w:rFonts w:ascii="Arial" w:cs="Arial" w:eastAsia="Arial" w:hAnsi="Arial"/>
          <w:b/>
          <w:bCs/>
          <w:i w:val="false"/>
          <w:iCs w:val="false"/>
          <w:color w:val="16181C"/>
          <w:sz w:val="26"/>
          <w:szCs w:val="26"/>
        </w:rPr>
        <w:t xml:space="preserve">Admin and finality</w:t>
      </w:r>
    </w:p>
    <w:p>
      <w:pPr>
        <w:spacing w:after="200" w:before="0" w:line="300"/>
      </w:pPr>
      <w:r>
        <w:rPr>
          <w:rFonts w:ascii="Arial" w:cs="Arial" w:eastAsia="Arial" w:hAnsi="Arial"/>
          <w:b w:val="false"/>
          <w:bCs w:val="false"/>
          <w:i w:val="false"/>
          <w:iCs w:val="false"/>
          <w:color w:val="16181C"/>
          <w:sz w:val="22"/>
          <w:szCs w:val="22"/>
        </w:rPr>
        <w:t xml:space="preserve">The treasury has no owner-withdraw function. That is not the whole permission story.</w:t>
      </w:r>
    </w:p>
    <w:p>
      <w:pPr>
        <w:spacing w:after="200" w:before="0" w:line="300"/>
      </w:pPr>
      <w:r>
        <w:rPr>
          <w:rFonts w:ascii="Arial" w:cs="Arial" w:eastAsia="Arial" w:hAnsi="Arial"/>
          <w:b w:val="false"/>
          <w:bCs w:val="false"/>
          <w:i w:val="false"/>
          <w:iCs w:val="false"/>
          <w:color w:val="16181C"/>
          <w:sz w:val="22"/>
          <w:szCs w:val="22"/>
        </w:rPr>
        <w:t xml:space="preserve">At launch the following addresses are written and then frozen: canonical $NT / WETH pool and router, USDG and stock-token pools, USD oracle. No extra taxable pool or router can be added later.</w:t>
      </w:r>
    </w:p>
    <w:p>
      <w:pPr>
        <w:spacing w:after="200" w:before="0" w:line="300"/>
      </w:pPr>
      <w:r>
        <w:rPr>
          <w:rFonts w:ascii="Arial" w:cs="Arial" w:eastAsia="Arial" w:hAnsi="Arial"/>
          <w:b w:val="false"/>
          <w:bCs w:val="false"/>
          <w:i w:val="false"/>
          <w:iCs w:val="false"/>
          <w:color w:val="16181C"/>
          <w:sz w:val="22"/>
          <w:szCs w:val="22"/>
        </w:rPr>
        <w:t xml:space="preserve">A pause role, if it exists in the deployed contracts, may halt Mint, Burn, Stake, or Claim. Pause does not move treasury assets and does not change weights, taxes, or the basket. There is no un-freeze of the route list and no function that lets an admin send stock tokens or ETH to an EOA.</w:t>
      </w:r>
    </w:p>
    <w:p>
      <w:pPr>
        <w:pStyle w:val="Heading2"/>
        <w:spacing w:after="140" w:before="280"/>
      </w:pPr>
      <w:r>
        <w:rPr>
          <w:rFonts w:ascii="Arial" w:cs="Arial" w:eastAsia="Arial" w:hAnsi="Arial"/>
          <w:b/>
          <w:bCs/>
          <w:i w:val="false"/>
          <w:iCs w:val="false"/>
          <w:color w:val="16181C"/>
          <w:sz w:val="26"/>
          <w:szCs w:val="26"/>
        </w:rPr>
        <w:t xml:space="preserve">Read this as rules, not a return</w:t>
      </w:r>
    </w:p>
    <w:p>
      <w:pPr>
        <w:spacing w:after="200" w:before="0" w:line="300"/>
      </w:pPr>
      <w:r>
        <w:rPr>
          <w:rFonts w:ascii="Arial" w:cs="Arial" w:eastAsia="Arial" w:hAnsi="Arial"/>
          <w:b w:val="false"/>
          <w:bCs w:val="false"/>
          <w:i w:val="false"/>
          <w:iCs w:val="false"/>
          <w:color w:val="16181C"/>
          <w:sz w:val="22"/>
          <w:szCs w:val="22"/>
        </w:rPr>
        <w:t xml:space="preserve">Nothing here is an offer of securities, a promise of yield, or a claim that holders own the listed companies. Live, verified contracts beat this page. This is not investment advice.</w:t>
      </w:r>
    </w:p>
    <w:p>
      <w:pPr>
        <w:spacing w:after="0" w:before="280" w:line="300"/>
      </w:pPr>
      <w:r>
        <w:rPr>
          <w:rFonts w:ascii="Arial" w:cs="Arial" w:eastAsia="Arial" w:hAnsi="Arial"/>
          <w:b w:val="false"/>
          <w:bCs w:val="false"/>
          <w:i w:val="false"/>
          <w:iCs w:val="false"/>
          <w:color w:val="5C5648"/>
          <w:sz w:val="16"/>
          <w:szCs w:val="16"/>
        </w:rPr>
        <w:t xml:space="preserve">NOOB TRADER PROTOCOL  ·  Handbook from whitepaper v1.24, language pass v1.24a</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Arial" w:cs="Arial" w:eastAsia="Arial" w:hAnsi="Arial"/>
        <w:b w:val="false"/>
        <w:bCs w:val="false"/>
        <w:i w:val="false"/>
        <w:iCs w:val="false"/>
        <w:color w:val="5C5648"/>
        <w:sz w:val="16"/>
        <w:szCs w:val="16"/>
      </w:rPr>
      <w:t xml:space="preserve">v1.24a    </w:t>
    </w:r>
    <w:r>
      <w:rPr>
        <w:rFonts w:ascii="Arial" w:cs="Arial" w:eastAsia="Arial" w:hAnsi="Arial"/>
        <w:color w:val="5C564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Arial" w:cs="Arial" w:eastAsia="Arial" w:hAnsi="Arial"/>
        <w:b w:val="false"/>
        <w:bCs w:val="false"/>
        <w:i w:val="false"/>
        <w:iCs w:val="false"/>
        <w:color w:val="5C5648"/>
        <w:sz w:val="16"/>
        <w:szCs w:val="16"/>
      </w:rPr>
      <w:t xml:space="preserve">NOOB TRADER  ·  Handbook  ·  English  ·  v1.24a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16181C"/>
      <w:sz w:val="32"/>
      <w:szCs w:val="32"/>
    </w:rPr>
  </w:style>
  <w:style w:type="paragraph" w:styleId="Heading2">
    <w:name w:val="Heading 2"/>
    <w:basedOn w:val="Normal"/>
    <w:next w:val="Normal"/>
    <w:qFormat/>
    <w:pPr>
      <w:spacing w:after="140" w:before="280"/>
      <w:outlineLvl w:val="1"/>
    </w:pPr>
    <w:rPr>
      <w:rFonts w:ascii="Arial" w:cs="Arial" w:eastAsia="Arial" w:hAnsi="Arial"/>
      <w:b/>
      <w:bCs/>
      <w:color w:val="16181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2026-09-08T16:29:34.430Z</dcterms:created>
  <dcterms:modified xsi:type="dcterms:W3CDTF">2026-09-08T16:29:34.430Z</dcterms:modified>
</cp:coreProperties>
</file>

<file path=docProps/custom.xml><?xml version="1.0" encoding="utf-8"?>
<Properties xmlns="http://schemas.openxmlformats.org/officeDocument/2006/custom-properties" xmlns:vt="http://schemas.openxmlformats.org/officeDocument/2006/docPropsVTypes"/>
</file>